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pPr>
      <w:r w:rsidDel="00000000" w:rsidR="00000000" w:rsidRPr="00000000">
        <w:rPr>
          <w:rFonts w:ascii="Times New Roman" w:cs="Times New Roman" w:eastAsia="Times New Roman" w:hAnsi="Times New Roman"/>
          <w:b w:val="1"/>
          <w:bCs w:val="1"/>
          <w:sz w:val="24"/>
          <w:szCs w:val="24"/>
          <w:rtl w:val="0"/>
        </w:rPr>
        <w:t xml:space="preserve">Σύντομο Βιογραφικό</w:t>
      </w: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rtl w:val="0"/>
        </w:rPr>
      </w:r>
    </w:p>
    <w:tbl>
      <w:tblPr>
        <w:tblStyle w:val="Table1"/>
        <w:tblW w:w="86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0"/>
        <w:gridCol w:w="5982"/>
        <w:tblGridChange w:id="0">
          <w:tblGrid>
            <w:gridCol w:w="2660"/>
            <w:gridCol w:w="5982"/>
          </w:tblGrid>
        </w:tblGridChange>
      </w:tblGrid>
      <w:tr>
        <w:trPr>
          <w:cantSplit w:val="0"/>
          <w:tblHeader w:val="0"/>
        </w:trPr>
        <w:tc>
          <w:tcPr>
            <w:tcMar>
              <w:top w:w="120.0" w:type="dxa"/>
              <w:bottom w:w="120.0" w:type="dxa"/>
            </w:tcMar>
            <w:vAlign w:val="center"/>
          </w:tcPr>
          <w:p w:rsidR="00000000" w:rsidDel="00000000" w:rsidP="00000000" w:rsidRDefault="00000000" w:rsidRPr="00000000" w14:paraId="00000004">
            <w:pPr>
              <w:spacing w:after="0" w:lineRule="auto"/>
              <w:jc w:val="center"/>
              <w:rPr/>
            </w:pPr>
            <w:r w:rsidDel="00000000" w:rsidR="00000000" w:rsidRPr="00000000">
              <w:rPr>
                <w:b w:val="1"/>
                <w:bCs w:val="1"/>
                <w:sz w:val="68"/>
                <w:szCs w:val="68"/>
              </w:rPr>
              <w:drawing>
                <wp:inline distB="114300" distT="114300" distL="114300" distR="114300">
                  <wp:extent cx="1533525" cy="1955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33525" cy="1955800"/>
                          </a:xfrm>
                          <a:prstGeom prst="rect"/>
                          <a:ln/>
                        </pic:spPr>
                      </pic:pic>
                    </a:graphicData>
                  </a:graphic>
                </wp:inline>
              </w:drawing>
            </w:r>
            <w:r w:rsidDel="00000000" w:rsidR="00000000" w:rsidRPr="00000000">
              <w:rPr>
                <w:rtl w:val="0"/>
              </w:rPr>
            </w:r>
          </w:p>
        </w:tc>
        <w:tc>
          <w:tcPr>
            <w:tcMar>
              <w:top w:w="65.0" w:type="dxa"/>
              <w:bottom w:w="65.0" w:type="dxa"/>
            </w:tcMar>
            <w:vAlign w:val="top"/>
          </w:tcPr>
          <w:p w:rsidR="00000000" w:rsidDel="00000000" w:rsidP="00000000" w:rsidRDefault="00000000" w:rsidRPr="00000000" w14:paraId="00000005">
            <w:pPr>
              <w:keepLines w:val="1"/>
              <w:spacing w:after="180" w:line="240" w:lineRule="auto"/>
              <w:jc w:val="both"/>
              <w:rPr/>
            </w:pPr>
            <w:r w:rsidDel="00000000" w:rsidR="00000000" w:rsidRPr="00000000">
              <w:rPr>
                <w:rFonts w:ascii="Calibri" w:cs="Calibri" w:eastAsia="Calibri" w:hAnsi="Calibri"/>
                <w:sz w:val="21"/>
                <w:szCs w:val="21"/>
                <w:rtl w:val="0"/>
              </w:rPr>
              <w:t xml:space="preserve">Η Δέσποινα Τσαβδαρίδου είναι Υποψήφια Διδάκτωρ στο Τμήμα Διοίκησης Επιχειρήσεων και Τουρισμού του Ελληνικού Μεσογειακού Πανεπιστημίου. Είναι πτυχιούχος του Τμήματος Ελληνικής Φιλολογίας του Δημοκρίτειου Πανεπιστημίου Θράκης και κάτοχος Μεταπτυχιακού Διπλώματος στη Διοίκηση Πολιτισμικών Μονάδων του Ελληνικού Ανοικτού Πανεπιστημίου, με βαθμό 9,04. Η διδακτορική της έρευνα εστιάζει στη βιωσιμότητα, την πολιτιστική επικοινωνία και τη χρήση ψηφιακών μέσων στους πολιτιστικούς οργανισμούς.</w:t>
            </w:r>
            <w:r w:rsidDel="00000000" w:rsidR="00000000" w:rsidRPr="00000000">
              <w:rPr>
                <w:rtl w:val="0"/>
              </w:rPr>
            </w:r>
          </w:p>
          <w:p w:rsidR="00000000" w:rsidDel="00000000" w:rsidP="00000000" w:rsidRDefault="00000000" w:rsidRPr="00000000" w14:paraId="00000006">
            <w:pPr>
              <w:keepLines w:val="1"/>
              <w:spacing w:after="180" w:line="240" w:lineRule="auto"/>
              <w:jc w:val="both"/>
              <w:rPr/>
            </w:pPr>
            <w:r w:rsidDel="00000000" w:rsidR="00000000" w:rsidRPr="00000000">
              <w:rPr>
                <w:rFonts w:ascii="Calibri" w:cs="Calibri" w:eastAsia="Calibri" w:hAnsi="Calibri"/>
                <w:sz w:val="21"/>
                <w:szCs w:val="21"/>
                <w:rtl w:val="0"/>
              </w:rPr>
              <w:t xml:space="preserve">Το ερευνητικό της έργο περιλαμβάνει δημοσιεύσεις σε διεθνή περιοδικά με κριτές, κεφάλαια σε διεθνείς συλλογικούς τόμους της Springer, καθώς και ανακοινώσεις σε ελληνικά και διεθνή επιστημονικά συνέδρια. Έχει επίσης προσκληθεί να δώσει εισήγηση στο ΠΜΣ «Πολιτιστική Διαχείριση» του Αριστοτελείου Πανεπιστημίου Θεσσαλονίκης με θέμα την επικοινωνία της βιωσιμότητας στον πολιτισμό.</w:t>
            </w:r>
            <w:r w:rsidDel="00000000" w:rsidR="00000000" w:rsidRPr="00000000">
              <w:rPr>
                <w:rtl w:val="0"/>
              </w:rPr>
            </w:r>
          </w:p>
          <w:p w:rsidR="00000000" w:rsidDel="00000000" w:rsidP="00000000" w:rsidRDefault="00000000" w:rsidRPr="00000000" w14:paraId="00000007">
            <w:pPr>
              <w:keepLines w:val="1"/>
              <w:spacing w:after="180" w:line="240" w:lineRule="auto"/>
              <w:jc w:val="both"/>
              <w:rPr/>
            </w:pPr>
            <w:r w:rsidDel="00000000" w:rsidR="00000000" w:rsidRPr="00000000">
              <w:rPr>
                <w:rFonts w:ascii="Calibri" w:cs="Calibri" w:eastAsia="Calibri" w:hAnsi="Calibri"/>
                <w:sz w:val="21"/>
                <w:szCs w:val="21"/>
                <w:rtl w:val="0"/>
              </w:rPr>
              <w:t xml:space="preserve">Έχει επαγγελματική εμπειρία στη διδασκαλία της ελληνικής ως δεύτερης/ξένης γλώσσας σε παιδιά, εφήβους και πανεπιστημιακούς φοιτητές στην Ελλάδα και στη Γερμανία. Έχει λάβει Υποτροφία Αριστείας κατά το πρώτο έτος των μεταπτυχιακών της σπουδών και Υποτροφία Αριστείας Υποψηφίων Διδακτόρων.</w:t>
            </w:r>
            <w:r w:rsidDel="00000000" w:rsidR="00000000" w:rsidRPr="00000000">
              <w:rPr>
                <w:rtl w:val="0"/>
              </w:rPr>
            </w:r>
          </w:p>
          <w:p w:rsidR="00000000" w:rsidDel="00000000" w:rsidP="00000000" w:rsidRDefault="00000000" w:rsidRPr="00000000" w14:paraId="00000008">
            <w:pPr>
              <w:keepLines w:val="1"/>
              <w:spacing w:after="0" w:line="240" w:lineRule="auto"/>
              <w:jc w:val="both"/>
              <w:rPr/>
            </w:pPr>
            <w:r w:rsidDel="00000000" w:rsidR="00000000" w:rsidRPr="00000000">
              <w:rPr>
                <w:rFonts w:ascii="Calibri" w:cs="Calibri" w:eastAsia="Calibri" w:hAnsi="Calibri"/>
                <w:sz w:val="21"/>
                <w:szCs w:val="21"/>
                <w:rtl w:val="0"/>
              </w:rPr>
              <w:t xml:space="preserve">Μιλά ελληνικά (μητρική γλώσσα), γερμανικά (C1) και αγγλικά (B2). Τα κύρια ερευνητικά της ενδιαφέροντα εστιάζονται στην Πολιτιστική Επικοινωνία, τα Ψηφιακά Μέσα, τις Πολιτιστικές και Δημιουργικές Βιομηχανίες, την Πολιτιστική Κατανάλωση και τη Βιώσιμη Διαχείριση.</w:t>
            </w:r>
            <w:r w:rsidDel="00000000" w:rsidR="00000000" w:rsidRPr="00000000">
              <w:rPr>
                <w:rtl w:val="0"/>
              </w:rPr>
            </w:r>
          </w:p>
        </w:tc>
      </w:tr>
    </w:tbl>
    <w:p w:rsidR="00000000" w:rsidDel="00000000" w:rsidP="00000000" w:rsidRDefault="00000000" w:rsidRPr="00000000" w14:paraId="00000009">
      <w:pPr>
        <w:spacing w:after="0" w:before="160" w:lineRule="auto"/>
        <w:rPr/>
      </w:pPr>
      <w:r w:rsidDel="00000000" w:rsidR="00000000" w:rsidRPr="00000000">
        <w:rPr>
          <w:rtl w:val="0"/>
        </w:rPr>
      </w:r>
    </w:p>
    <w:p w:rsidR="00000000" w:rsidDel="00000000" w:rsidP="00000000" w:rsidRDefault="00000000" w:rsidRPr="00000000" w14:paraId="0000000A">
      <w:pPr>
        <w:spacing w:after="120" w:lineRule="auto"/>
        <w:jc w:val="left"/>
        <w:rPr/>
      </w:pPr>
      <w:r w:rsidDel="00000000" w:rsidR="00000000" w:rsidRPr="00000000">
        <w:rPr>
          <w:rFonts w:ascii="Calibri" w:cs="Calibri" w:eastAsia="Calibri" w:hAnsi="Calibri"/>
          <w:b w:val="1"/>
          <w:bCs w:val="1"/>
          <w:sz w:val="21"/>
          <w:szCs w:val="21"/>
          <w:rtl w:val="0"/>
        </w:rPr>
        <w:t xml:space="preserve">Links:</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Fonts w:ascii="Calibri" w:cs="Calibri" w:eastAsia="Calibri" w:hAnsi="Calibri"/>
          <w:b w:val="1"/>
          <w:bCs w:val="1"/>
          <w:sz w:val="21"/>
          <w:szCs w:val="21"/>
          <w:rtl w:val="0"/>
        </w:rPr>
        <w:t xml:space="preserve">ORCID: </w:t>
      </w:r>
      <w:hyperlink r:id="rId8">
        <w:r w:rsidDel="00000000" w:rsidR="00000000" w:rsidRPr="00000000">
          <w:rPr>
            <w:rFonts w:ascii="Calibri" w:cs="Calibri" w:eastAsia="Calibri" w:hAnsi="Calibri"/>
            <w:color w:val="0563c1"/>
            <w:sz w:val="21"/>
            <w:szCs w:val="21"/>
            <w:u w:val="single"/>
            <w:rtl w:val="0"/>
          </w:rPr>
          <w:t xml:space="preserve">https://orcid.org/0009-0003-9131-3482</w:t>
        </w:r>
      </w:hyperlink>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Calibri" w:cs="Calibri" w:eastAsia="Calibri" w:hAnsi="Calibri"/>
          <w:b w:val="1"/>
          <w:bCs w:val="1"/>
          <w:sz w:val="21"/>
          <w:szCs w:val="21"/>
          <w:rtl w:val="0"/>
        </w:rPr>
        <w:t xml:space="preserve">Google Scholar: </w:t>
      </w:r>
      <w:hyperlink r:id="rId9">
        <w:r w:rsidDel="00000000" w:rsidR="00000000" w:rsidRPr="00000000">
          <w:rPr>
            <w:rFonts w:ascii="Calibri" w:cs="Calibri" w:eastAsia="Calibri" w:hAnsi="Calibri"/>
            <w:color w:val="0563c1"/>
            <w:sz w:val="21"/>
            <w:szCs w:val="21"/>
            <w:u w:val="single"/>
            <w:rtl w:val="0"/>
          </w:rPr>
          <w:t xml:space="preserve">https://scholar.google.com/citations?hl=de&amp;user=2hBNMiEAAAAJ</w:t>
        </w:r>
      </w:hyperlink>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Calibri" w:cs="Calibri" w:eastAsia="Calibri" w:hAnsi="Calibri"/>
          <w:b w:val="1"/>
          <w:bCs w:val="1"/>
          <w:sz w:val="21"/>
          <w:szCs w:val="21"/>
          <w:rtl w:val="0"/>
        </w:rPr>
        <w:t xml:space="preserve">ResearchGate: </w:t>
      </w:r>
      <w:hyperlink r:id="rId10">
        <w:r w:rsidDel="00000000" w:rsidR="00000000" w:rsidRPr="00000000">
          <w:rPr>
            <w:rFonts w:ascii="Calibri" w:cs="Calibri" w:eastAsia="Calibri" w:hAnsi="Calibri"/>
            <w:color w:val="0563c1"/>
            <w:sz w:val="21"/>
            <w:szCs w:val="21"/>
            <w:u w:val="single"/>
            <w:rtl w:val="0"/>
          </w:rPr>
          <w:t xml:space="preserve">https://www.researchgate.net/profile/Despoina-Tsavdaridou-2?ev=hdr_xprf</w:t>
        </w:r>
      </w:hyperlink>
      <w:r w:rsidDel="00000000" w:rsidR="00000000" w:rsidRPr="00000000">
        <w:rPr>
          <w:rtl w:val="0"/>
        </w:rPr>
      </w:r>
    </w:p>
    <w:sectPr>
      <w:pgSz w:h="16838" w:w="11906" w:orient="portrait"/>
      <w:pgMar w:bottom="1440" w:top="1440" w:left="1800" w:right="14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researchgate.net/profile/Despoina-Tsavdaridou-2?ev=hdr_xprf" TargetMode="External"/><Relationship Id="rId9" Type="http://schemas.openxmlformats.org/officeDocument/2006/relationships/hyperlink" Target="https://scholar.google.com/citations?hl=de&amp;user=2hBNMiEAAAAJ"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orcid.org/0009-0003-9131-34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Dc7LYHZwLik1yl8kKgKKubFmfA==">CgMxLjA4AHIhMUJ6LTFqVG80XzllOC05eXYxVC1JaHlzM0Z0YW9LTmha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