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after="240" w:before="0"/>
        <w:jc w:val="center"/>
        <w:rPr>
          <w:rFonts w:ascii="Times New Roman" w:hAnsi="Times New Roman" w:cs="Times New Roman"/>
          <w:b/>
          <w:sz w:val="24"/>
          <w:szCs w:val="24"/>
        </w:rPr>
      </w:pPr>
      <w:r>
        <w:rPr>
          <w:rFonts w:ascii="Calibri" w:hAnsi="Calibri" w:eastAsia="Calibri"/>
          <w:b/>
          <w:sz w:val="28"/>
        </w:rPr>
        <w:t>Σύντομο Βιογραφικό</w:t>
      </w:r>
    </w:p>
    <w:tbl>
      <w:tblPr>
        <w:tblW w:w="8642" w:type="dxa"/>
        <w:jc w:val="left"/>
        <w:tblInd w:w="0" w:type="dxa"/>
        <w:tblLayout w:type="fixed"/>
        <w:tblCellMar>
          <w:top w:w="0" w:type="dxa"/>
          <w:left w:w="108" w:type="dxa"/>
          <w:bottom w:w="0" w:type="dxa"/>
          <w:right w:w="108" w:type="dxa"/>
        </w:tblCellMar>
      </w:tblPr>
      <w:tblGrid>
        <w:gridCol w:w="2660"/>
        <w:gridCol w:w="5982"/>
      </w:tblGrid>
      <w:tr>
        <w:trPr/>
        <w:tc>
          <w:tcPr>
            <w:tcW w:w="2835" w:type="dxa"/>
            <w:tcBorders>
              <w:top w:val="single" w:sz="4" w:space="0" w:color="000000"/>
              <w:left w:val="single" w:sz="4" w:space="0" w:color="000000"/>
              <w:bottom w:val="single" w:sz="4" w:space="0" w:color="000000"/>
              <w:right w:val="single" w:sz="4" w:space="0" w:color="000000"/>
            </w:tcBorders>
            <w:vAlign w:val="top"/>
            <w:tcMar>
              <w:top w:w="100" w:type="dxa"/>
              <w:start w:w="95" w:type="dxa"/>
              <w:bottom w:w="100" w:type="dxa"/>
              <w:end w:w="95" w:type="dxa"/>
            </w:tcMar>
          </w:tcPr>
          <w:p>
            <w:pPr>
              <w:spacing w:before="80" w:after="120"/>
              <w:jc w:val="center"/>
            </w:pPr>
            <w:r>
              <w:drawing>
                <wp:inline xmlns:a="http://schemas.openxmlformats.org/drawingml/2006/main">
                  <wp:extent cx="1389888" cy="1812002"/>
                  <wp:docPr id="1" name="Picture 1"/>
                  <wp:cNvGraphicFramePr>
                    <a:graphicFrameLocks noChangeAspect="1"/>
                  </wp:cNvGraphicFramePr>
                  <a:graphic>
                    <a:graphicData uri="http://schemas.openxmlformats.org/drawingml/2006/picture">
                      <pic:pic>
                        <pic:nvPicPr>
                          <pic:cNvPr id="0" name="Χατζελένης_photo_prepared.png"/>
                          <pic:cNvPicPr/>
                        </pic:nvPicPr>
                        <pic:blipFill>
                          <a:blip r:embed="rId11"/>
                          <a:stretch>
                            <a:fillRect/>
                          </a:stretch>
                        </pic:blipFill>
                        <pic:spPr>
                          <a:xfrm>
                            <a:off x="0" y="0"/>
                            <a:ext cx="1389888" cy="1812002"/>
                          </a:xfrm>
                          <a:prstGeom prst="rect"/>
                        </pic:spPr>
                      </pic:pic>
                    </a:graphicData>
                  </a:graphic>
                </wp:inline>
              </w:drawing>
            </w:r>
          </w:p>
          <w:p>
            <w:pPr>
              <w:spacing w:before="0" w:after="60"/>
              <w:jc w:val="center"/>
            </w:pPr>
            <w:r>
              <w:rPr>
                <w:rFonts w:ascii="Calibri" w:hAnsi="Calibri" w:eastAsia="Calibri"/>
                <w:b/>
                <w:sz w:val="21"/>
              </w:rPr>
              <w:t>Γιώργος Χατζελένης</w:t>
            </w:r>
          </w:p>
          <w:p>
            <w:pPr>
              <w:spacing w:before="0" w:after="160"/>
              <w:jc w:val="center"/>
            </w:pPr>
            <w:r>
              <w:rPr>
                <w:rFonts w:ascii="Calibri" w:hAnsi="Calibri" w:eastAsia="Calibri"/>
                <w:sz w:val="18"/>
              </w:rPr>
              <w:t>Συντηρητής Αρχαιοτήτων</w:t>
              <w:br/>
              <w:t>&amp; Έργων Τέχνης</w:t>
            </w:r>
          </w:p>
          <w:p>
            <w:pPr>
              <w:spacing w:before="0" w:after="0"/>
              <w:jc w:val="center"/>
            </w:pPr>
            <w:r>
              <w:rPr>
                <w:rFonts w:ascii="Calibri" w:hAnsi="Calibri" w:eastAsia="Calibri"/>
                <w:sz w:val="18"/>
              </w:rPr>
              <w:t>Μουσείο Ακρόπολης</w:t>
            </w:r>
          </w:p>
        </w:tc>
        <w:tc>
          <w:tcPr>
            <w:tcW w:w="6378" w:type="dxa"/>
            <w:tcBorders>
              <w:top w:val="single" w:sz="4" w:space="0" w:color="000000"/>
              <w:left w:val="single" w:sz="4" w:space="0" w:color="000000"/>
              <w:bottom w:val="single" w:sz="4" w:space="0" w:color="000000"/>
              <w:right w:val="single" w:sz="4" w:space="0" w:color="000000"/>
            </w:tcBorders>
            <w:vAlign w:val="top"/>
            <w:tcMar>
              <w:top w:w="90" w:type="dxa"/>
              <w:start w:w="115" w:type="dxa"/>
              <w:bottom w:w="90" w:type="dxa"/>
              <w:end w:w="115" w:type="dxa"/>
            </w:tcMar>
          </w:tcPr>
          <w:p>
            <w:pPr>
              <w:spacing w:before="0" w:after="80" w:line="240" w:lineRule="auto"/>
              <w:jc w:val="both"/>
            </w:pPr>
            <w:r>
              <w:rPr>
                <w:rFonts w:ascii="Calibri" w:hAnsi="Calibri" w:eastAsia="Calibri"/>
                <w:b/>
                <w:sz w:val="21"/>
              </w:rPr>
              <w:t>Ο Γιώργος Χατζελένης</w:t>
            </w:r>
            <w:r>
              <w:rPr>
                <w:rFonts w:ascii="Calibri" w:hAnsi="Calibri" w:eastAsia="Calibri"/>
                <w:b w:val="0"/>
                <w:sz w:val="21"/>
              </w:rPr>
              <w:t xml:space="preserve"> είναι συντηρητής αρχαιοτήτων και έργων τέχνης και εργάζεται στο </w:t>
            </w:r>
            <w:r>
              <w:rPr>
                <w:rFonts w:ascii="Calibri" w:hAnsi="Calibri" w:eastAsia="Calibri"/>
                <w:b/>
                <w:sz w:val="21"/>
              </w:rPr>
              <w:t>Μουσείο της Ακρόπολης</w:t>
            </w:r>
            <w:r>
              <w:rPr>
                <w:rFonts w:ascii="Calibri" w:hAnsi="Calibri" w:eastAsia="Calibri"/>
                <w:b w:val="0"/>
                <w:sz w:val="21"/>
              </w:rPr>
              <w:t xml:space="preserve"> από το 2008. Είναι πτυχιούχος του Τμήματος Συντήρησης Αρχαιοτήτων και Έργων Τέχνης της Σχολής Γραφικών Τεχνών και Καλλιτεχνικών Σπουδών του Α.Τ.Ε.Ι. Αθήνας και κάτοχος μεταπτυχιακού διπλώματος στη Διαχείριση Πολιτισμικών Μονάδων της Σχολής Κοινωνικών Επιστημών του Ελληνικού Ανοικτού Πανεπιστημίου. Από τον Νοέμβριο του 2024 είναι </w:t>
            </w:r>
            <w:r>
              <w:rPr>
                <w:rFonts w:ascii="Calibri" w:hAnsi="Calibri" w:eastAsia="Calibri"/>
                <w:b/>
                <w:sz w:val="21"/>
              </w:rPr>
              <w:t>υποψήφιος διδάκτορας</w:t>
            </w:r>
            <w:r>
              <w:rPr>
                <w:rFonts w:ascii="Calibri" w:hAnsi="Calibri" w:eastAsia="Calibri"/>
                <w:b w:val="0"/>
                <w:sz w:val="21"/>
              </w:rPr>
              <w:t xml:space="preserve"> στο Τμήμα Διοίκησης Επιχειρήσεων και Τουρισμού του Ελληνικού Μεσογειακού Πανεπιστημίου.</w:t>
            </w:r>
          </w:p>
          <w:p>
            <w:pPr>
              <w:spacing w:before="0" w:after="80" w:line="240" w:lineRule="auto"/>
              <w:jc w:val="both"/>
            </w:pPr>
            <w:r>
              <w:rPr>
                <w:rFonts w:ascii="Calibri" w:hAnsi="Calibri" w:eastAsia="Calibri"/>
                <w:b/>
                <w:sz w:val="21"/>
              </w:rPr>
              <w:t>Η συνεδριακή του δραστηριότητα</w:t>
            </w:r>
            <w:r>
              <w:rPr>
                <w:rFonts w:ascii="Calibri" w:hAnsi="Calibri" w:eastAsia="Calibri"/>
                <w:b w:val="0"/>
                <w:sz w:val="21"/>
              </w:rPr>
              <w:t xml:space="preserve"> περιλαμβάνει συμμετοχές στο 1ο Διεθνές Επιστημονικό Συνέδριο «Οπτικοακουστικός και Κινηματογραφικός Γραμματισμός» (Χανιά, 29–31 Μαρτίου 2024), στο 12th ICSIMAT «Semiotics of Culture and Visual Communication X» (Κύπρος, 26–28 Ιουνίου 2024), στο 1ο Επιστημονικό Συνέδριο Κινηματογραφικής Γραφής, Πρακτικής και Έρευνας (Αθήνα, 12–14 Δεκεμβρίου 2024), στο 10th Advances in Tourism Marketing Conference (Ηράκλειο, 24–26 Σεπτεμβρίου 2025) και στο 2ο Διεθνές Επιστημονικό Συνέδριο «Οπτικοακουστικός &amp; Κινηματογραφικός Γραμματισμός» (Χανιά, 27–29 Μαρτίου 2026). Περιλαμβάνεται επίσης η προγραμματισμένη συμμετοχή στο 13th Sino-European International Tourism Conference: Island &amp; Coastal Tourism Futures (Ηράκλειο, 21–23 Σεπτεμβρίου 2026).</w:t>
            </w:r>
          </w:p>
          <w:p>
            <w:pPr>
              <w:spacing w:before="0" w:after="80" w:line="240" w:lineRule="auto"/>
              <w:jc w:val="both"/>
            </w:pPr>
            <w:r>
              <w:rPr>
                <w:rFonts w:ascii="Calibri" w:hAnsi="Calibri" w:eastAsia="Calibri"/>
                <w:b/>
                <w:sz w:val="21"/>
              </w:rPr>
              <w:t>Στις δημοσιεύσεις του σε διεθνή συνέδρια</w:t>
            </w:r>
            <w:r>
              <w:rPr>
                <w:rFonts w:ascii="Calibri" w:hAnsi="Calibri" w:eastAsia="Calibri"/>
                <w:b w:val="0"/>
                <w:sz w:val="21"/>
              </w:rPr>
              <w:t xml:space="preserve"> περιλαμβάνεται η εργασία των Giorgos Chatzelenis και Eirini Papadaki (2025), «Promotion of museums and destinations through the prism of the cinematic lens: The cases of the Louvre, Prado and Hermitage Museum», η οποία παρουσιάστηκε στο 10th ATMC on Resilient Future &amp; Creative Placemaking.</w:t>
            </w:r>
          </w:p>
          <w:p>
            <w:pPr>
              <w:spacing w:before="0" w:after="0" w:line="240" w:lineRule="auto"/>
              <w:jc w:val="both"/>
            </w:pPr>
            <w:r>
              <w:rPr>
                <w:rFonts w:ascii="Calibri" w:hAnsi="Calibri" w:eastAsia="Calibri"/>
                <w:b/>
                <w:sz w:val="21"/>
              </w:rPr>
              <w:t>Έχει επίσης συμμετάσχει σε συλλογικούς τόμους</w:t>
            </w:r>
            <w:r>
              <w:rPr>
                <w:rFonts w:ascii="Calibri" w:hAnsi="Calibri" w:eastAsia="Calibri"/>
                <w:b w:val="0"/>
                <w:sz w:val="21"/>
              </w:rPr>
              <w:t xml:space="preserve"> με τα κεφάλαια Papadaki Eirini &amp; Chatzelenis George (2025), «The Tourist as Other: Mediations of Tourist’s Images Through Film», στον τόμο Semiotics of Culture and Visual Communication X, Cambridge Scholars Publishing, και Γιώργος Χατζελένης &amp; Ειρήνη Παπαδάκη (2025), «Πολιτιστικός Γραμματισμός και Κινηματογράφος: Το παράδειγμα των μουσείων σε κινηματογραφικές αφηγήσεις», στα πρακτικά Οπτικοακουστικός και Κινηματογραφικός Γραμματισμός.</w:t>
            </w:r>
          </w:p>
        </w:tc>
      </w:tr>
    </w:tbl>
    <w:sectPr>
      <w:type w:val="nextPage"/>
      <w:pgSz w:w="11906" w:h="16838"/>
      <w:pgMar w:left="1134" w:right="907" w:gutter="0" w:header="0" w:top="907" w:footer="0"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a1"/>
    <w:family w:val="swiss"/>
    <w:pitch w:val="variable"/>
  </w:font>
  <w:font w:name="Liberation Sans">
    <w:altName w:val="Arial"/>
    <w:charset w:val="00"/>
    <w:family w:val="swiss"/>
    <w:pitch w:val="variable"/>
  </w:font>
  <w:font w:name="Segoe UI">
    <w:charset w:val="a1"/>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7" w:before="0" w:after="160"/>
    </w:pPr>
    <w:rPr>
      <w:rFonts w:ascii="Calibri" w:hAnsi="Calibri" w:eastAsia="Calibri" w:cs="Times New Roman"/>
      <w:color w:val="auto"/>
      <w:sz w:val="21"/>
      <w:szCs w:val="22"/>
      <w:lang w:val="el-GR" w:bidi="ar-SA" w:eastAsia="zh-CN"/>
    </w:rPr>
  </w:style>
  <w:style w:type="character" w:styleId="Style14">
    <w:name w:val="Προεπιλεγμένη γραμματοσειρά"/>
    <w:qFormat/>
    <w:rPr/>
  </w:style>
  <w:style w:type="character" w:styleId="Hyperlink">
    <w:name w:val="Hyperlink"/>
    <w:rPr>
      <w:color w:val="0563C1"/>
      <w:u w:val="single"/>
    </w:rPr>
  </w:style>
  <w:style w:type="character" w:styleId="FollowedHyperlink">
    <w:name w:val="FollowedHyperlink"/>
    <w:rPr>
      <w:color w:val="954F72"/>
      <w:u w:val="single"/>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autoSpaceDE w:val="false"/>
      <w:bidi w:val="0"/>
    </w:pPr>
    <w:rPr>
      <w:rFonts w:ascii="Times New Roman" w:hAnsi="Times New Roman" w:eastAsia="Calibri" w:cs="Times New Roman"/>
      <w:color w:val="000000"/>
      <w:sz w:val="24"/>
      <w:szCs w:val="24"/>
      <w:lang w:val="el-GR"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linkedin.com/in/garefalakis-e-alexandros" TargetMode="External"/><Relationship Id="rId4" Type="http://schemas.openxmlformats.org/officeDocument/2006/relationships/hyperlink" Target="https://www.researchgate.net/profile/Alexandros-Garefalakis" TargetMode="External"/><Relationship Id="rId5" Type="http://schemas.openxmlformats.org/officeDocument/2006/relationships/hyperlink" Target="https://scholar.google.com/citations?user=e_X3E0kAAAAJ&amp;hl=en"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image" Target="media/image2.jpg"/><Relationship Id="rId10" Type="http://schemas.openxmlformats.org/officeDocument/2006/relationships/image" Target="media/image3.png"/><Relationship Id="rId11" Type="http://schemas.openxmlformats.org/officeDocument/2006/relationships/image" Target="media/image4.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2022-05-26T07:52:00Z</dcterms:created>
  <dc:creator>Γεωργία-Δανάη Αντωνάκη</dc:creator>
  <dc:description/>
  <cp:keywords>Sustainability, Food Safety, QMS, EHS, ISO, Hospitality</cp:keywords>
  <dc:language>en-US</dc:language>
  <cp:lastModifiedBy/>
  <dcterms:modified xsi:type="dcterms:W3CDTF">2026-07-14T07:25:00Z</dcterms:modified>
  <cp:revision>16</cp:revision>
  <dc:subject>Σύντομο επαγγελματικό βιογραφικό</dc:subject>
  <dc:title>Σύντομο Βιογραφικό - Γεωργία-Δανάη Αντωνάκη</dc:title>
</cp:coreProperties>
</file>